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DD51" w14:textId="3AFB6E50" w:rsidR="0057135A" w:rsidRDefault="003A74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461ABE0" wp14:editId="6B943DD1">
            <wp:simplePos x="0" y="0"/>
            <wp:positionH relativeFrom="page">
              <wp:posOffset>2987675</wp:posOffset>
            </wp:positionH>
            <wp:positionV relativeFrom="paragraph">
              <wp:posOffset>-545465</wp:posOffset>
            </wp:positionV>
            <wp:extent cx="2103120" cy="701040"/>
            <wp:effectExtent l="0" t="0" r="0" b="3810"/>
            <wp:wrapNone/>
            <wp:docPr id="3" name="image3.png" descr="C:\Users\Elena.Kabanets\Downloads\ЦП-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Elena.Kabanets\Downloads\ЦП-01 (1).jpg"/>
                    <pic:cNvPicPr preferRelativeResize="0"/>
                  </pic:nvPicPr>
                  <pic:blipFill>
                    <a:blip r:embed="rId4"/>
                    <a:srcRect l="6039" b="470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0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hidden="0" allowOverlap="1" wp14:anchorId="4E917F5C" wp14:editId="1DA8175E">
            <wp:simplePos x="0" y="0"/>
            <wp:positionH relativeFrom="margin">
              <wp:align>left</wp:align>
            </wp:positionH>
            <wp:positionV relativeFrom="paragraph">
              <wp:posOffset>-523875</wp:posOffset>
            </wp:positionV>
            <wp:extent cx="1524000" cy="6477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8487" t="22414" r="6919" b="244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55BAA2" wp14:editId="69D662D9">
            <wp:simplePos x="0" y="0"/>
            <wp:positionH relativeFrom="margin">
              <wp:align>right</wp:align>
            </wp:positionH>
            <wp:positionV relativeFrom="paragraph">
              <wp:posOffset>-584200</wp:posOffset>
            </wp:positionV>
            <wp:extent cx="1866849" cy="834013"/>
            <wp:effectExtent l="0" t="0" r="635" b="444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849" cy="83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26600B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ПРЕСС-РЕЛИЗ</w:t>
      </w:r>
    </w:p>
    <w:p w14:paraId="363F43E3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марта 2020</w:t>
      </w:r>
    </w:p>
    <w:p w14:paraId="341C36A7" w14:textId="77777777" w:rsidR="0057135A" w:rsidRDefault="0057135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6980AE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Стартовал крупнейший в России ИТ-конкурс «Цифровой прорыв-2020»</w:t>
      </w:r>
    </w:p>
    <w:p w14:paraId="1F7A6F26" w14:textId="77777777" w:rsidR="0057135A" w:rsidRDefault="0057135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06D9C6" w14:textId="399AB712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вторник, 17 марта, стартовал второй сезон крупнейшего в России конкурса для ИТ-специалистов «Цифровой прорыв» – флагманского проекта президентской платформы «</w:t>
      </w:r>
      <w:hyperlink r:id="rId7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Россия – страна возможностей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Заявки на конкурс можно подать на сайте </w:t>
      </w:r>
      <w:hyperlink r:id="rId8" w:history="1">
        <w:proofErr w:type="spellStart"/>
        <w:proofErr w:type="gramStart"/>
        <w:r w:rsidR="000368EF" w:rsidRPr="000368EF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ц</w:t>
        </w:r>
        <w:r w:rsidRPr="000368EF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ифровой</w:t>
        </w:r>
        <w:r w:rsidR="000368EF" w:rsidRPr="000368EF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п</w:t>
        </w:r>
        <w:r w:rsidRPr="000368EF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рорыв.рф</w:t>
        </w:r>
        <w:proofErr w:type="spellEnd"/>
        <w:proofErr w:type="gramEnd"/>
      </w:hyperlink>
      <w:r w:rsidR="000368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1CDD5A06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«Цифровой прорыв» – крупнейшее командное соревнование в сфере информационных технологий. Конкурс проходит в формате серии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направленных на поиск и внедрение цифровых решений для бизнеса и государства. В 2019 году участниками конкурса стали свыше 66 тысяч человек, а в финал конкурса вышли более 3 тысяч участников.</w:t>
      </w:r>
    </w:p>
    <w:p w14:paraId="72D34A87" w14:textId="77777777" w:rsidR="0057135A" w:rsidRDefault="00A12938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этот раз мы планируем провести 36-часовые региональные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хакатоны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во всех федеральных округах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8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хабах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Каждое из них соберет до 600 участников и позволит создать действительно конкурентную среду, обеспечить достойные призы от наших партнеров. Каждый партнер, в свою очередь, получит множество различных решений актуальных бизнес-задач. Над каждым кейсом будет работать не одна-две команды, а минимум 10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Что касается финала, то как и в прошлом сезоне, он пройдет в формате 48-часового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который соберет 1500 конкурсантов. Финал конкурса запланирован на осень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отметил генеральный директор АНО «Россия – страна возможностей»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Алексей Комиссаров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DF1FA5" w14:textId="77777777" w:rsidR="0057135A" w:rsidRDefault="00A12938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Сейчас, согласно индексу «Цифровая Россия», уровень проникновения «цифры» в регионы превышает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в наиболее продвинутых – перевалил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Одновременно с этим доля IT-специалистов составляет лишь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2,44%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занятого населения. И в будущем потребность в ИТ-специалистах продолжит только расти.</w:t>
      </w:r>
    </w:p>
    <w:p w14:paraId="40CDC77F" w14:textId="77777777" w:rsidR="0057135A" w:rsidRDefault="00A12938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«К примеру сейчас, во время распространения новой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инфекции, все более актуальными становятся вопросы удаленной работы на дому, онлайн-обучения в вузах и школах, а также удаленной доставки различных товаров (развитие электронной коммерции). Таким образом, новые вызовы становятся дополнительными возможностями для развития ИТ-отрасли, что требует большего количества соответствующих специалистов»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– отметил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Алексей Комиссаров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6B22B6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Участником конкурса может стать совершеннолетний гражданин РФ. В соревнованиях могут принять участие программисты, инженеры, аналитики, тестировщики, системные администраторы, архитекторы, специалисты в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менеджеры проектов, дизайнеры программного обеспечения, аниматоры, гейм-дизайнеры, специалисты по UX/UI и прочие специалисты IT-отрасли.</w:t>
      </w:r>
    </w:p>
    <w:p w14:paraId="761F7635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Кроме соревновательной составляющей, программа финала будет включать образовательную часть (воркшопы и мастер-классы), а также специальную и деловые программы для амбассадоров, партнеров и экспертов.</w:t>
      </w:r>
    </w:p>
    <w:p w14:paraId="3006C425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получат широкий выбор возможностей: стажировки, трудоустройства, менторская поддержка при разработке проектов, образовательная программа, денежные призы. Общий призовой фонд во втором сезоне конкурса составит 40 миллионов рублей.</w:t>
      </w:r>
    </w:p>
    <w:p w14:paraId="0E9F80B5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кейсы будут государственные и коммерческие партнеры конкурса, в числе которых госкорпорация «Росатом», ПАО «Газпром Нефть», ПАО «Ростелеком»,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провайдер платежных и финансовых сервисов QIWI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195B40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пройдет в несколько этапов:</w:t>
      </w:r>
    </w:p>
    <w:p w14:paraId="1FCE6245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Первый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подача заявки и регистрация;</w:t>
      </w:r>
    </w:p>
    <w:p w14:paraId="4B9CB780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онлайн-тестирование на предмет цифровой грамотности на наличие базовых знаний и навыков, необходимых для специалистов в IT-секторе.</w:t>
      </w:r>
    </w:p>
    <w:p w14:paraId="56387973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Участники, которые успешно пройдут онлайн-тестирование, перейдут к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третьему этапу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им предстоит объединиться в команды и принять участие в 8 очных региональных отборочных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980359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регионального этапа команды смогут консультироваться у экспертов, предоставленных партнерами конкурса. Кейсы будут представлять собой расширенные описания проблемных ситуаций, а не технических описаний конкретных задач. Такой подход позволит участникам применить творческие навыки при разработке цифровых сервисов и представить максимально эффективные решения. В рамках регионального этапа будут отобраны лучшие команды, которые получат приглашение на финальный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C54D9E" w14:textId="77777777" w:rsidR="0057135A" w:rsidRDefault="00A12938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Финал проекта, как и в прошлом сезоне, пройдет в формате 48-часового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который соберет 1500 конкурсантов. Кроме соревновательной составляющей, программа будет включать образовательную часть (воркшопы и мастер-классы), а также специальную и деловые программы для амбассадоров, партнеров и экспертов.</w:t>
      </w:r>
    </w:p>
    <w:p w14:paraId="4D3F6989" w14:textId="77777777" w:rsidR="0057135A" w:rsidRDefault="00A12938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финале «Цифрового прорыва» примут участие не только состоявшиеся специалисты, но и лучшие российские школьники, которые будут отобраны Кружковым движением НТИ по итогам Олимпиады НТИ и через другие конкурсные механики, включая конкурс компетенций «Талант 2035».</w:t>
      </w:r>
    </w:p>
    <w:p w14:paraId="14C07D05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Контент – оператор конкурса в 2020 году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ассоциация электронных коммуникаций (РАЭК)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Ассоциация объединяет свыше 100 технологических компаний и экспертов, представляет интересы отрасли в органах власти, привлекает внимание государства к проблемам развития Рунета, поддерживает образовательные и научные проекты в IT-отрасли.</w:t>
      </w:r>
    </w:p>
    <w:p w14:paraId="3788F0E6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Общее число вакансий в ИТ растет намного быстрее, чем число вакансий в целом. Происходит изменение требований к квалификации сотрудников. Здорово, что такие конкурсы как «Цифровой прорыв» стимулируют развитие новых высококвалифицированных кадров для цифровой экономики России. Подготовка качественных кадров, всестороннее вовлечение молодежи в работу в ИТ-отрасли, финансовая поддержка молодых проектов – это базис цифровой экономики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сказал руководитель проектного офиса конкурса «Цифровой прорыв», директор РАЭК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Сергей Плуготаренко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8E775B" w14:textId="24952C66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конкурса будут созданы цифровые профили участников и команд. Цифровые профили проектных команд, состоящие из кратких портфолио, станут удобным инструментом для компаний-партнеров в поиске команд-разработчиков. Цифровые профили участников, состоящие из персонального рейтинга по результатам ассесмента и образовательной программы, помогут потенциальным работодателям найти необходимых специалистов, построить личную траекторию профессионального развития участника.</w:t>
      </w:r>
    </w:p>
    <w:p w14:paraId="09D51E4C" w14:textId="6E17D19E" w:rsidR="00E4127D" w:rsidRPr="00E4127D" w:rsidRDefault="00E4127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1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«Работа с молодыми ИТ-специалистами, которые приходят в Росатом, особенно важна для нас. Для развития продуктового портфеля и решения других амбициозных задач цифровизации мы планируем привлечь более 4000 новых сотрудников по 106 профессиям. Именно поэтому в прошлом году Госкорпорация «Росатом» стала стратегическим партнером конкурса «Цифровой прорыв», и мы очень довольны результатами конкурса и полученным опытом. По итогам финала конкурса прошлого года мы трудоустроили в наши цифровые проекты (подразделения ЧУ «</w:t>
      </w:r>
      <w:proofErr w:type="spellStart"/>
      <w:r w:rsidRPr="00E41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Цифрум</w:t>
      </w:r>
      <w:proofErr w:type="spellEnd"/>
      <w:r w:rsidRPr="00E41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и ИК «АСЭ») 10 конкурсантов из числа финалистов. В этом году мы планируем пригласить к сотрудничеству более 130 человек из числа участников конкурса»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41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E4127D"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тил </w:t>
      </w:r>
      <w:r w:rsidR="00DE2804" w:rsidRPr="00DE2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Черепанов Валерий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F59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F5959" w:rsidRPr="00DF5959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аместитель директора департамента информационных технологий</w:t>
      </w:r>
      <w:r w:rsidR="00A12938" w:rsidRPr="00DF5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госкорпорации «Росатом».</w:t>
      </w:r>
      <w:r w:rsidR="00A1293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14:paraId="4385A2B1" w14:textId="3844C4BB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«Плодотворное сотрудничество с финалистами конкурса «Цифровой Прорыв» в 2019 году положительно сказалось на нашем решении поддержать и новый поток. В этом году доступ к реализации технологических проектов бизнеса и государства на «Профессионалах 4.0» получат 2700 полуфиналистов и финалистов конкурса. Скорость и интенсивность реализации проектов в корпорациях и органах государственной власти существенно повышается, поэтому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компетенции программистов, инженеров, аналитиков, дизайнеров и представителей других «цифровых» профессий сейчас востребованы как никогда»,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4127D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Николай Долгов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Директор по развитию платформы «Профессионалы 4.0» компании «Газпром нефть».</w:t>
      </w:r>
    </w:p>
    <w:p w14:paraId="78BF48D3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«Финансовая отрасль всегда была одним из самых конкурентных рынков человеческого капитала. Именно там, работающим на стыке технологий и финансов, необходимы профессиональные кадры, способные к быстрой адаптации и генерации новых решений практически сразу. Цифровой прорыв, площадка, где мы не просто решаем кадровые вопросы, мы ищем новые подходы к управленческим решениям в уже сформировавшемся рынке. Участие компании QIWI в проекте напрямую связано с нашими стратегическими целями поддерживать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финтех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отрасль и рынок финансового образования. Мы, как бизнес-сообщество, должны действовать вместе в рамках подобных инициатив, поскольку только работа сообща, в партнёрстве, поможет нам сформировать конкурентный кадровый рынок из высококлассных специалистов, а также заложить основу в части современного цифрового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пояснил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Борис 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генеральный директор QIWI</w:t>
      </w:r>
    </w:p>
    <w:p w14:paraId="5D59AF67" w14:textId="77777777" w:rsidR="0057135A" w:rsidRDefault="00A129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«Цифровой прорыв» реализуется в рамках федерального проекта «Социальные лифты для каждого» национального проекта «Образование». </w:t>
      </w:r>
    </w:p>
    <w:p w14:paraId="54AAD9DC" w14:textId="77777777" w:rsidR="0057135A" w:rsidRDefault="0057135A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74A5CA" w14:textId="77777777" w:rsidR="0057135A" w:rsidRDefault="00A12938">
      <w:pPr>
        <w:spacing w:before="12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справка:</w:t>
      </w:r>
    </w:p>
    <w:p w14:paraId="4B08FA31" w14:textId="77777777" w:rsidR="0057135A" w:rsidRDefault="00A129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Автономная некоммерческая организация (АНО) «Россия – страна возможностей» </w:t>
      </w:r>
      <w:r>
        <w:rPr>
          <w:rFonts w:ascii="Times New Roman" w:eastAsia="Times New Roman" w:hAnsi="Times New Roman" w:cs="Times New Roman"/>
          <w:sz w:val="24"/>
          <w:szCs w:val="24"/>
        </w:rPr>
        <w:t>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14:paraId="32731267" w14:textId="77777777" w:rsidR="0057135A" w:rsidRDefault="00A129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АНО «Россия – страна возможностей» развивает одноименную платформу, объединяющую 23 проекта: конкурс управленцев «Лидеры России», конкурс «Лидеры России. Политика», студенческая олимпиада «Я – профессионал», международный конкурс «Мой первый бизнес», всероссийский конкурс «Доброволец России», проект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Профстажировки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2.0», проект «Культурный код», фестиваль «Российская студенческая весна», всероссийский конкурс «Мастера гостеприимства», «Грантовый конкурс молодежных инициатив», конкурс «Цифровой прорыв», профессиональный конкурс «Учитель будущего», портал Бизнес-навигатора МСП, конкурс «Лучший социальный проект года», всероссийский проект «РДШ – Территория самоуправления», соревнования по профессиональному мастерству среди людей с инвалидностью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всероссийский молодежный кубок по менеджменту «Управляй!», Российская национальная премия «Студент года», движение «Молодые профессионалы»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благотворительный проект «Мечтай со мной», всероссийский конкурс «Лига вожатых», конкурс «Моя страна – моя Россия», международный инженерный чемпионат «CASE-IN» и «Олимпиада Кружкового движения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НТИ.Junior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395C2C7" w14:textId="77777777" w:rsidR="0057135A" w:rsidRDefault="00A1293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Контактная информация:</w:t>
      </w:r>
    </w:p>
    <w:p w14:paraId="235DF91A" w14:textId="77777777" w:rsidR="0057135A" w:rsidRDefault="0057135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4"/>
        <w:gridCol w:w="4515"/>
      </w:tblGrid>
      <w:tr w:rsidR="0057135A" w14:paraId="4071FAB7" w14:textId="77777777">
        <w:tc>
          <w:tcPr>
            <w:tcW w:w="4514" w:type="dxa"/>
          </w:tcPr>
          <w:p w14:paraId="672A25BF" w14:textId="77777777" w:rsidR="0057135A" w:rsidRDefault="00A12938" w:rsidP="00541A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пресс-службы </w:t>
            </w:r>
          </w:p>
          <w:p w14:paraId="56F6FF48" w14:textId="77777777" w:rsidR="0057135A" w:rsidRDefault="00A12938" w:rsidP="00541A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АНО «Россия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страна возможностей»</w:t>
            </w:r>
          </w:p>
          <w:p w14:paraId="5CAC4066" w14:textId="01A70745" w:rsidR="0057135A" w:rsidRDefault="00A1293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Коляда</w:t>
            </w:r>
          </w:p>
          <w:p w14:paraId="572F81B0" w14:textId="77777777" w:rsidR="0057135A" w:rsidRDefault="00A1293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+ 7 (495) 198-88-92</w:t>
            </w:r>
          </w:p>
          <w:p w14:paraId="548F27B6" w14:textId="77777777" w:rsidR="0057135A" w:rsidRDefault="00A1293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+ 7 (910) 647-88-88</w:t>
            </w:r>
          </w:p>
          <w:p w14:paraId="12F344BE" w14:textId="77777777" w:rsidR="0057135A" w:rsidRDefault="00B351CF">
            <w:pPr>
              <w:spacing w:before="120" w:after="120" w:line="276" w:lineRule="auto"/>
              <w:jc w:val="both"/>
              <w:rPr>
                <w:color w:val="0563C1"/>
                <w:u w:val="single"/>
              </w:rPr>
            </w:pPr>
            <w:hyperlink r:id="rId9">
              <w:r w:rsidR="00A1293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sergey.kolyada@rsv.ru</w:t>
              </w:r>
            </w:hyperlink>
          </w:p>
          <w:p w14:paraId="19A0D56A" w14:textId="77777777" w:rsidR="0057135A" w:rsidRDefault="0057135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4A27F350" w14:textId="77777777" w:rsidR="0057135A" w:rsidRDefault="00A129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по PR </w:t>
            </w:r>
          </w:p>
          <w:p w14:paraId="79AE198D" w14:textId="77777777" w:rsidR="0057135A" w:rsidRDefault="00A129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всероссийского конкурса </w:t>
            </w:r>
          </w:p>
          <w:p w14:paraId="27174018" w14:textId="77777777" w:rsidR="0057135A" w:rsidRDefault="00A129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«Цифровой прорыв»</w:t>
            </w:r>
          </w:p>
          <w:p w14:paraId="42029496" w14:textId="77777777" w:rsidR="0057135A" w:rsidRDefault="00A12938" w:rsidP="00541A5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Сафиуллина Эльмира</w:t>
            </w:r>
          </w:p>
          <w:p w14:paraId="780B1D59" w14:textId="77777777" w:rsidR="0057135A" w:rsidRDefault="00A12938" w:rsidP="00541A5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+ 7 (926)626-06-95, </w:t>
            </w:r>
          </w:p>
          <w:p w14:paraId="5D71DDE2" w14:textId="77777777" w:rsidR="0057135A" w:rsidRDefault="00B351CF" w:rsidP="00541A5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A1293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es@leadersofdigital.ru</w:t>
              </w:r>
            </w:hyperlink>
          </w:p>
          <w:p w14:paraId="745A1F5C" w14:textId="77777777" w:rsidR="0057135A" w:rsidRDefault="0057135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AC26B4" w14:textId="77777777" w:rsidR="0057135A" w:rsidRDefault="005713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7135A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5A"/>
    <w:rsid w:val="000368EF"/>
    <w:rsid w:val="003A74BF"/>
    <w:rsid w:val="00541A56"/>
    <w:rsid w:val="0055606F"/>
    <w:rsid w:val="0057135A"/>
    <w:rsid w:val="00A12938"/>
    <w:rsid w:val="00B351CF"/>
    <w:rsid w:val="00DE2804"/>
    <w:rsid w:val="00DF5959"/>
    <w:rsid w:val="00E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197C"/>
  <w15:docId w15:val="{E59336A3-5DEF-4918-882A-FAA422F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68E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68E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A7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sofdigit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sv.ru/main/RMa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es@leadersofdigita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ergey.kolyada@rs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Соин</dc:creator>
  <cp:lastModifiedBy>Антон Соин</cp:lastModifiedBy>
  <cp:revision>3</cp:revision>
  <dcterms:created xsi:type="dcterms:W3CDTF">2020-03-17T13:35:00Z</dcterms:created>
  <dcterms:modified xsi:type="dcterms:W3CDTF">2020-03-17T15:03:00Z</dcterms:modified>
</cp:coreProperties>
</file>